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hint="eastAsia" w:ascii="微软雅黑" w:hAnsi="微软雅黑" w:eastAsia="微软雅黑" w:cs="宋体"/>
          <w:color w:val="333333"/>
          <w:kern w:val="0"/>
          <w:sz w:val="36"/>
          <w:szCs w:val="36"/>
          <w:lang w:val="en-US" w:eastAsia="zh-CN"/>
        </w:rPr>
      </w:pPr>
      <w:r>
        <w:rPr>
          <w:rFonts w:hint="eastAsia" w:ascii="微软雅黑" w:hAnsi="微软雅黑" w:eastAsia="微软雅黑" w:cs="宋体"/>
          <w:color w:val="333333"/>
          <w:kern w:val="0"/>
          <w:sz w:val="36"/>
          <w:szCs w:val="36"/>
        </w:rPr>
        <w:t>关于开展2021年7月份</w:t>
      </w:r>
      <w:r>
        <w:rPr>
          <w:rFonts w:hint="eastAsia" w:ascii="微软雅黑" w:hAnsi="微软雅黑" w:eastAsia="微软雅黑" w:cs="宋体"/>
          <w:color w:val="333333"/>
          <w:kern w:val="0"/>
          <w:sz w:val="36"/>
          <w:szCs w:val="36"/>
          <w:lang w:eastAsia="zh-CN"/>
        </w:rPr>
        <w:t>第三批</w:t>
      </w:r>
      <w:r>
        <w:rPr>
          <w:rFonts w:ascii="微软雅黑" w:hAnsi="微软雅黑" w:eastAsia="微软雅黑" w:cs="宋体"/>
          <w:color w:val="333333"/>
          <w:kern w:val="0"/>
          <w:sz w:val="36"/>
          <w:szCs w:val="36"/>
        </w:rPr>
        <w:t>第</w:t>
      </w:r>
      <w:r>
        <w:rPr>
          <w:rFonts w:hint="eastAsia" w:ascii="微软雅黑" w:hAnsi="微软雅黑" w:eastAsia="微软雅黑" w:cs="宋体"/>
          <w:color w:val="333333"/>
          <w:kern w:val="0"/>
          <w:sz w:val="36"/>
          <w:szCs w:val="36"/>
          <w:lang w:eastAsia="zh-CN"/>
        </w:rPr>
        <w:t>九</w:t>
      </w:r>
      <w:r>
        <w:rPr>
          <w:rFonts w:hint="eastAsia" w:ascii="微软雅黑" w:hAnsi="微软雅黑" w:eastAsia="微软雅黑" w:cs="宋体"/>
          <w:color w:val="333333"/>
          <w:kern w:val="0"/>
          <w:sz w:val="36"/>
          <w:szCs w:val="36"/>
          <w:lang w:val="en-US" w:eastAsia="zh-CN"/>
        </w:rPr>
        <w:t>期</w:t>
      </w:r>
    </w:p>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eastAsia="zh-CN"/>
        </w:rPr>
        <w:t>安全员</w:t>
      </w: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bookmarkStart w:id="0" w:name="_GoBack"/>
      <w:bookmarkEnd w:id="0"/>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2021年3月开始进行试点，分岗位、分批分期进行。每期培训测试人数为115人，且为同一岗位。</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rPr>
        <w:t>7月</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8期</w:t>
      </w:r>
      <w:r>
        <w:rPr>
          <w:rFonts w:hint="eastAsia" w:ascii="微软雅黑" w:hAnsi="微软雅黑" w:eastAsia="微软雅黑" w:cs="宋体"/>
          <w:color w:val="333333"/>
          <w:kern w:val="0"/>
          <w:sz w:val="24"/>
          <w:szCs w:val="24"/>
          <w:lang w:eastAsia="zh-CN"/>
        </w:rPr>
        <w:t>至</w:t>
      </w:r>
      <w:r>
        <w:rPr>
          <w:rFonts w:hint="eastAsia" w:ascii="微软雅黑" w:hAnsi="微软雅黑" w:eastAsia="微软雅黑" w:cs="宋体"/>
          <w:color w:val="333333"/>
          <w:kern w:val="0"/>
          <w:sz w:val="24"/>
          <w:szCs w:val="24"/>
          <w:lang w:val="en-US" w:eastAsia="zh-CN"/>
        </w:rPr>
        <w:t>11期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7月份</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8期</w:t>
      </w:r>
      <w:r>
        <w:rPr>
          <w:rFonts w:hint="eastAsia" w:ascii="微软雅黑" w:hAnsi="微软雅黑" w:eastAsia="微软雅黑" w:cs="宋体"/>
          <w:color w:val="333333"/>
          <w:kern w:val="0"/>
          <w:sz w:val="24"/>
          <w:szCs w:val="24"/>
          <w:lang w:eastAsia="zh-CN"/>
        </w:rPr>
        <w:t>至</w:t>
      </w:r>
      <w:r>
        <w:rPr>
          <w:rFonts w:hint="eastAsia" w:ascii="微软雅黑" w:hAnsi="微软雅黑" w:eastAsia="微软雅黑" w:cs="宋体"/>
          <w:color w:val="333333"/>
          <w:kern w:val="0"/>
          <w:sz w:val="24"/>
          <w:szCs w:val="24"/>
          <w:lang w:val="en-US" w:eastAsia="zh-CN"/>
        </w:rPr>
        <w:t>11期</w:t>
      </w:r>
      <w:r>
        <w:rPr>
          <w:rFonts w:hint="eastAsia" w:ascii="微软雅黑" w:hAnsi="微软雅黑" w:eastAsia="微软雅黑" w:cs="宋体"/>
          <w:color w:val="333333"/>
          <w:kern w:val="0"/>
          <w:sz w:val="24"/>
          <w:szCs w:val="24"/>
        </w:rPr>
        <w:t>培训测试岗位只设</w:t>
      </w:r>
      <w:r>
        <w:rPr>
          <w:rFonts w:hint="eastAsia" w:ascii="微软雅黑" w:hAnsi="微软雅黑" w:eastAsia="微软雅黑" w:cs="宋体"/>
          <w:color w:val="FF0000"/>
          <w:kern w:val="0"/>
          <w:sz w:val="24"/>
          <w:szCs w:val="24"/>
          <w:lang w:eastAsia="zh-CN"/>
        </w:rPr>
        <w:t>安全员</w:t>
      </w:r>
      <w:r>
        <w:rPr>
          <w:rFonts w:hint="eastAsia" w:ascii="微软雅黑" w:hAnsi="微软雅黑" w:eastAsia="微软雅黑" w:cs="宋体"/>
          <w:color w:val="333333"/>
          <w:kern w:val="0"/>
          <w:sz w:val="24"/>
          <w:szCs w:val="24"/>
        </w:rPr>
        <w:t>。其他岗位暂不接受报名。学员在网上报名时，平台设定每期报名人数上限为1</w:t>
      </w:r>
      <w:r>
        <w:rPr>
          <w:rFonts w:hint="eastAsia" w:ascii="微软雅黑" w:hAnsi="微软雅黑" w:eastAsia="微软雅黑" w:cs="宋体"/>
          <w:color w:val="333333"/>
          <w:kern w:val="0"/>
          <w:sz w:val="24"/>
          <w:szCs w:val="24"/>
          <w:lang w:val="en-US" w:eastAsia="zh-CN"/>
        </w:rPr>
        <w:t>20</w:t>
      </w:r>
      <w:r>
        <w:rPr>
          <w:rFonts w:hint="eastAsia" w:ascii="微软雅黑" w:hAnsi="微软雅黑" w:eastAsia="微软雅黑" w:cs="宋体"/>
          <w:color w:val="333333"/>
          <w:kern w:val="0"/>
          <w:sz w:val="24"/>
          <w:szCs w:val="24"/>
        </w:rPr>
        <w:t>人。在网上报名成功后，在规定时间携相关资料参加现场资格审核，审核合格后安排培训;培训合格后安排测试。</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3</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安全员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val="en-US" w:eastAsia="zh-CN"/>
        </w:rPr>
        <w:t>-6日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r>
        <w:rPr>
          <w:rFonts w:hint="eastAsia" w:ascii="仿宋" w:hAnsi="仿宋" w:eastAsia="仿宋" w:cs="仿宋"/>
          <w:sz w:val="28"/>
          <w:szCs w:val="28"/>
          <w:lang w:val="en-US" w:eastAsia="zh-CN"/>
        </w:rPr>
        <w:t>-8日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hint="eastAsia" w:ascii="仿宋" w:hAnsi="仿宋" w:eastAsia="仿宋" w:cs="仿宋"/>
          <w:color w:val="auto"/>
          <w:kern w:val="0"/>
          <w:sz w:val="28"/>
          <w:szCs w:val="28"/>
          <w:lang w:val="en-US" w:eastAsia="zh-CN"/>
        </w:rPr>
      </w:pPr>
      <w:r>
        <w:rPr>
          <w:rFonts w:hint="eastAsia" w:ascii="微软雅黑" w:hAnsi="微软雅黑" w:eastAsia="微软雅黑" w:cs="宋体"/>
          <w:b/>
          <w:color w:val="333333"/>
          <w:kern w:val="0"/>
          <w:sz w:val="24"/>
          <w:szCs w:val="24"/>
        </w:rPr>
        <w:t>五、培训测试安排</w:t>
      </w:r>
    </w:p>
    <w:p>
      <w:pPr>
        <w:spacing w:line="560" w:lineRule="exact"/>
        <w:rPr>
          <w:rFonts w:ascii="仿宋" w:hAnsi="仿宋" w:eastAsia="仿宋" w:cs="仿宋"/>
          <w:color w:val="auto"/>
          <w:sz w:val="30"/>
          <w:szCs w:val="30"/>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九</w:t>
      </w:r>
      <w:r>
        <w:rPr>
          <w:rFonts w:hint="eastAsia" w:ascii="仿宋" w:hAnsi="仿宋" w:eastAsia="仿宋" w:cs="仿宋"/>
          <w:color w:val="auto"/>
          <w:sz w:val="28"/>
          <w:szCs w:val="28"/>
        </w:rPr>
        <w:t>期：</w:t>
      </w:r>
      <w:r>
        <w:rPr>
          <w:rFonts w:hint="eastAsia" w:ascii="仿宋" w:hAnsi="仿宋" w:eastAsia="仿宋" w:cs="仿宋"/>
          <w:color w:val="auto"/>
          <w:sz w:val="28"/>
          <w:szCs w:val="28"/>
          <w:lang w:eastAsia="zh-CN"/>
        </w:rPr>
        <w:t>安全员</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99</w:t>
      </w:r>
      <w:r>
        <w:rPr>
          <w:rFonts w:hint="eastAsia" w:ascii="仿宋" w:hAnsi="仿宋" w:eastAsia="仿宋" w:cs="仿宋"/>
          <w:color w:val="auto"/>
          <w:sz w:val="30"/>
          <w:szCs w:val="30"/>
        </w:rPr>
        <w:t>人）</w:t>
      </w:r>
    </w:p>
    <w:tbl>
      <w:tblPr>
        <w:tblStyle w:val="8"/>
        <w:tblW w:w="9713"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83"/>
        <w:gridCol w:w="135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45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时间</w:t>
            </w:r>
          </w:p>
        </w:tc>
        <w:tc>
          <w:tcPr>
            <w:tcW w:w="3383"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内容</w:t>
            </w:r>
          </w:p>
        </w:tc>
        <w:tc>
          <w:tcPr>
            <w:tcW w:w="135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授课老师</w:t>
            </w:r>
          </w:p>
        </w:tc>
        <w:tc>
          <w:tcPr>
            <w:tcW w:w="184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455" w:type="dxa"/>
            <w:vAlign w:val="center"/>
          </w:tcPr>
          <w:p>
            <w:pPr>
              <w:pStyle w:val="19"/>
              <w:spacing w:line="240" w:lineRule="exact"/>
              <w:ind w:firstLine="0" w:firstLineChars="0"/>
              <w:jc w:val="center"/>
              <w:rPr>
                <w:rFonts w:ascii="仿宋" w:hAnsi="仿宋" w:eastAsia="仿宋" w:cs="仿宋"/>
                <w:b/>
                <w:bCs/>
                <w:color w:val="auto"/>
                <w:spacing w:val="-20"/>
                <w:kern w:val="0"/>
                <w:sz w:val="24"/>
              </w:rPr>
            </w:pPr>
            <w:r>
              <w:rPr>
                <w:rFonts w:hint="eastAsia" w:ascii="仿宋" w:hAnsi="仿宋" w:eastAsia="仿宋" w:cs="仿宋"/>
                <w:color w:val="auto"/>
                <w:spacing w:val="-20"/>
                <w:kern w:val="0"/>
                <w:sz w:val="24"/>
              </w:rPr>
              <w:t>7月</w:t>
            </w:r>
            <w:r>
              <w:rPr>
                <w:rFonts w:hint="eastAsia" w:ascii="仿宋" w:hAnsi="仿宋" w:eastAsia="仿宋" w:cs="仿宋"/>
                <w:color w:val="auto"/>
                <w:spacing w:val="-20"/>
                <w:kern w:val="0"/>
                <w:sz w:val="24"/>
                <w:lang w:val="en-US" w:eastAsia="zh-CN"/>
              </w:rPr>
              <w:t>13日</w:t>
            </w:r>
            <w:r>
              <w:rPr>
                <w:rFonts w:hint="eastAsia" w:ascii="仿宋" w:hAnsi="仿宋" w:eastAsia="仿宋" w:cs="仿宋"/>
                <w:color w:val="auto"/>
                <w:spacing w:val="-20"/>
                <w:kern w:val="0"/>
                <w:sz w:val="24"/>
              </w:rPr>
              <w:t>-</w:t>
            </w:r>
            <w:r>
              <w:rPr>
                <w:rFonts w:hint="eastAsia" w:ascii="仿宋" w:hAnsi="仿宋" w:eastAsia="仿宋" w:cs="仿宋"/>
                <w:color w:val="auto"/>
                <w:spacing w:val="-20"/>
                <w:kern w:val="0"/>
                <w:sz w:val="24"/>
                <w:lang w:val="en-US" w:eastAsia="zh-CN"/>
              </w:rPr>
              <w:t>14</w:t>
            </w:r>
            <w:r>
              <w:rPr>
                <w:rFonts w:hint="eastAsia" w:ascii="仿宋" w:hAnsi="仿宋" w:eastAsia="仿宋" w:cs="仿宋"/>
                <w:color w:val="auto"/>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全天</w:t>
            </w:r>
          </w:p>
        </w:tc>
        <w:tc>
          <w:tcPr>
            <w:tcW w:w="3383"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线上自主学习</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rPr>
            </w:pPr>
          </w:p>
        </w:tc>
        <w:tc>
          <w:tcPr>
            <w:tcW w:w="184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55" w:type="dxa"/>
            <w:vMerge w:val="restart"/>
            <w:vAlign w:val="center"/>
          </w:tcPr>
          <w:p>
            <w:pPr>
              <w:pStyle w:val="19"/>
              <w:spacing w:line="24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15</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李政</w:t>
            </w:r>
          </w:p>
        </w:tc>
        <w:tc>
          <w:tcPr>
            <w:tcW w:w="1845"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eastAsia="zh-CN"/>
              </w:rPr>
              <w:t>曾坚</w:t>
            </w:r>
          </w:p>
        </w:tc>
        <w:tc>
          <w:tcPr>
            <w:tcW w:w="184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55" w:type="dxa"/>
            <w:vMerge w:val="continue"/>
            <w:vAlign w:val="center"/>
          </w:tcPr>
          <w:p>
            <w:pPr>
              <w:pStyle w:val="19"/>
              <w:spacing w:line="240" w:lineRule="exact"/>
              <w:ind w:firstLine="48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14:30-18:00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李政</w:t>
            </w:r>
          </w:p>
        </w:tc>
        <w:tc>
          <w:tcPr>
            <w:tcW w:w="1845"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曾坚</w:t>
            </w:r>
          </w:p>
        </w:tc>
        <w:tc>
          <w:tcPr>
            <w:tcW w:w="184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李政</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曾坚</w:t>
            </w:r>
          </w:p>
        </w:tc>
        <w:tc>
          <w:tcPr>
            <w:tcW w:w="184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16</w:t>
            </w:r>
            <w:r>
              <w:rPr>
                <w:rFonts w:hint="eastAsia" w:ascii="仿宋" w:hAnsi="仿宋" w:eastAsia="仿宋" w:cs="仿宋"/>
                <w:color w:val="auto"/>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岗位知识与专业技能</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szCs w:val="24"/>
                <w:lang w:eastAsia="zh-CN"/>
              </w:rPr>
              <w:t>李政</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sz w:val="24"/>
              </w:rPr>
              <w:t>221多媒体教室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14:30-18:00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通用与基础知识</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曾坚</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eastAsia="zh-CN"/>
              </w:rPr>
              <w:t>何春生</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李 政</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17</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李 冰</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rPr>
              <w:t>张治虎</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383"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4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bl>
    <w:p>
      <w:pPr>
        <w:spacing w:line="560" w:lineRule="exac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班主任：袁菲</w:t>
      </w:r>
      <w:r>
        <w:rPr>
          <w:rFonts w:hint="eastAsia" w:ascii="仿宋" w:hAnsi="仿宋" w:eastAsia="仿宋" w:cs="仿宋"/>
          <w:color w:val="auto"/>
          <w:kern w:val="0"/>
          <w:sz w:val="28"/>
          <w:szCs w:val="28"/>
          <w:lang w:val="en-US" w:eastAsia="zh-CN"/>
        </w:rPr>
        <w:t xml:space="preserve"> 13975588119</w:t>
      </w:r>
    </w:p>
    <w:p>
      <w:pPr>
        <w:widowControl/>
        <w:shd w:val="clear" w:color="auto" w:fill="FFFFFF"/>
        <w:spacing w:line="480" w:lineRule="auto"/>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080" w:firstLineChars="17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2021年</w:t>
      </w:r>
      <w:r>
        <w:rPr>
          <w:rFonts w:hint="eastAsia" w:ascii="微软雅黑" w:hAnsi="微软雅黑" w:eastAsia="微软雅黑" w:cs="宋体"/>
          <w:color w:val="auto"/>
          <w:kern w:val="0"/>
          <w:sz w:val="24"/>
          <w:szCs w:val="24"/>
          <w:lang w:val="en-US" w:eastAsia="zh-CN"/>
        </w:rPr>
        <w:t>7</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6</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 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 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 地点参加培训测试。培训人员提前登陆培训平台，打印测试 准考证，凭身份证原件、准考证，进入测试机房，通过现场 身份验证，并拍照比对通过后，随机排位，入座待考。机房 统一启动测试指令，培训人员在规定时间内完成测试题答题 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r>
        <w:rPr>
          <w:rFonts w:hint="eastAsia" w:ascii="仿宋" w:hAnsi="仿宋" w:eastAsia="仿宋" w:cs="仿宋"/>
          <w:sz w:val="28"/>
          <w:szCs w:val="28"/>
        </w:rPr>
        <w:t xml:space="preserve">    年     月     日 </w:t>
      </w:r>
    </w:p>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6CD4548"/>
    <w:rsid w:val="0C1A52CD"/>
    <w:rsid w:val="0E3F0D90"/>
    <w:rsid w:val="12C91D6E"/>
    <w:rsid w:val="18EC0378"/>
    <w:rsid w:val="19D54E38"/>
    <w:rsid w:val="1D6E65BB"/>
    <w:rsid w:val="23906022"/>
    <w:rsid w:val="25630974"/>
    <w:rsid w:val="34541CD4"/>
    <w:rsid w:val="3F551769"/>
    <w:rsid w:val="41FB2170"/>
    <w:rsid w:val="4DCD10B6"/>
    <w:rsid w:val="4EAF5FBE"/>
    <w:rsid w:val="5D8D2912"/>
    <w:rsid w:val="67FD5CEF"/>
    <w:rsid w:val="6BA00A7C"/>
    <w:rsid w:val="6C3E1BDA"/>
    <w:rsid w:val="76946A27"/>
    <w:rsid w:val="7BF2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4</TotalTime>
  <ScaleCrop>false</ScaleCrop>
  <LinksUpToDate>false</LinksUpToDate>
  <CharactersWithSpaces>4374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dcterms:modified xsi:type="dcterms:W3CDTF">2021-07-13T04:11:43Z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448028596AFE4407A21298AA15FAA45F</vt:lpwstr>
  </property>
</Properties>
</file>