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28" w:tblpY="3195"/>
        <w:tblOverlap w:val="never"/>
        <w:tblW w:w="137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7448"/>
        <w:gridCol w:w="3753"/>
        <w:gridCol w:w="12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占总学分比例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实践教学学分占总学分比例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69.10%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选修课学分占总学分比例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12.60%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2019级实践教学学分、选修课学分占总学分比例一览表</w:t>
      </w:r>
    </w:p>
    <w:bookmarkEnd w:id="0"/>
    <w:p>
      <w:pPr>
        <w:jc w:val="righ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righ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right"/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2020年11月6日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D57DD"/>
    <w:rsid w:val="7D8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2020-12-17T03:11:00Z</dcterms:created>
  <dc:creator>含含西西</dc:creator>
  <cp:lastModifiedBy>含含西西</cp:lastModifiedBy>
  <dcterms:modified xsi:type="dcterms:W3CDTF">2020-12-17T03:12:50Z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